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15FC0" w14:textId="6BDF8E8D" w:rsidR="00DE46B4" w:rsidRDefault="001D050E" w:rsidP="00DE46B4">
      <w:pPr>
        <w:jc w:val="center"/>
        <w:rPr>
          <w:rFonts w:ascii="Arial" w:hAnsi="Arial" w:cs="Arial"/>
          <w:b/>
          <w:bCs/>
        </w:rPr>
      </w:pPr>
      <w:r w:rsidRPr="001D050E">
        <w:rPr>
          <w:rFonts w:ascii="Arial" w:hAnsi="Arial" w:cs="Arial"/>
          <w:b/>
          <w:bCs/>
        </w:rPr>
        <w:t>Nebulizador vector C150</w:t>
      </w:r>
    </w:p>
    <w:tbl>
      <w:tblPr>
        <w:tblStyle w:val="Tablaconcuadrcula"/>
        <w:tblpPr w:leftFromText="141" w:rightFromText="141" w:vertAnchor="page" w:horzAnchor="margin" w:tblpXSpec="center" w:tblpY="6646"/>
        <w:tblW w:w="10180" w:type="dxa"/>
        <w:tblLook w:val="04A0" w:firstRow="1" w:lastRow="0" w:firstColumn="1" w:lastColumn="0" w:noHBand="0" w:noVBand="1"/>
      </w:tblPr>
      <w:tblGrid>
        <w:gridCol w:w="3412"/>
        <w:gridCol w:w="6768"/>
      </w:tblGrid>
      <w:tr w:rsidR="00DE46B4" w14:paraId="2A2BD1D6" w14:textId="77777777" w:rsidTr="00DE46B4">
        <w:trPr>
          <w:trHeight w:val="487"/>
        </w:trPr>
        <w:tc>
          <w:tcPr>
            <w:tcW w:w="3412" w:type="dxa"/>
          </w:tcPr>
          <w:p w14:paraId="1D2410DA" w14:textId="77777777" w:rsidR="00DE46B4" w:rsidRPr="00644F0C" w:rsidRDefault="00DE46B4" w:rsidP="00DE46B4">
            <w:pPr>
              <w:jc w:val="right"/>
              <w:rPr>
                <w:rFonts w:ascii="Arial" w:hAnsi="Arial" w:cs="Arial"/>
                <w:b/>
                <w:bCs/>
                <w:color w:val="000000" w:themeColor="text1"/>
              </w:rPr>
            </w:pPr>
            <w:r w:rsidRPr="00644F0C">
              <w:rPr>
                <w:rFonts w:ascii="Arial" w:hAnsi="Arial" w:cs="Arial"/>
                <w:b/>
                <w:bCs/>
                <w:color w:val="000000" w:themeColor="text1"/>
              </w:rPr>
              <w:t>Para usar en</w:t>
            </w:r>
          </w:p>
        </w:tc>
        <w:tc>
          <w:tcPr>
            <w:tcW w:w="6768" w:type="dxa"/>
          </w:tcPr>
          <w:p w14:paraId="0BA73F15" w14:textId="77777777" w:rsidR="00DE46B4" w:rsidRPr="00644F0C" w:rsidRDefault="00DE46B4" w:rsidP="00DE46B4">
            <w:pPr>
              <w:jc w:val="center"/>
              <w:rPr>
                <w:rFonts w:ascii="Arial" w:hAnsi="Arial" w:cs="Arial"/>
                <w:b/>
                <w:bCs/>
                <w:color w:val="000000" w:themeColor="text1"/>
              </w:rPr>
            </w:pPr>
            <w:r w:rsidRPr="00644F0C">
              <w:rPr>
                <w:rFonts w:ascii="Arial" w:hAnsi="Arial" w:cs="Arial"/>
                <w:b/>
                <w:bCs/>
                <w:color w:val="000000" w:themeColor="text1"/>
              </w:rPr>
              <w:t>Comercial y residencial: interiores y exteriores</w:t>
            </w:r>
          </w:p>
        </w:tc>
      </w:tr>
      <w:tr w:rsidR="00DE46B4" w14:paraId="5EB0DB01" w14:textId="77777777" w:rsidTr="00DE46B4">
        <w:trPr>
          <w:trHeight w:val="443"/>
        </w:trPr>
        <w:tc>
          <w:tcPr>
            <w:tcW w:w="3412" w:type="dxa"/>
          </w:tcPr>
          <w:p w14:paraId="6E1DC3F9" w14:textId="77777777" w:rsidR="00DE46B4" w:rsidRPr="00644F0C" w:rsidRDefault="00DE46B4" w:rsidP="00DE46B4">
            <w:pPr>
              <w:jc w:val="right"/>
              <w:rPr>
                <w:rFonts w:ascii="Arial" w:hAnsi="Arial" w:cs="Arial"/>
                <w:b/>
                <w:bCs/>
                <w:color w:val="000000" w:themeColor="text1"/>
              </w:rPr>
            </w:pPr>
            <w:r w:rsidRPr="00644F0C">
              <w:rPr>
                <w:rFonts w:ascii="Arial" w:hAnsi="Arial" w:cs="Arial"/>
                <w:b/>
                <w:bCs/>
                <w:color w:val="000000" w:themeColor="text1"/>
              </w:rPr>
              <w:t>Tipo de pulverizador</w:t>
            </w:r>
          </w:p>
        </w:tc>
        <w:tc>
          <w:tcPr>
            <w:tcW w:w="6768" w:type="dxa"/>
          </w:tcPr>
          <w:p w14:paraId="06F4215F" w14:textId="77777777" w:rsidR="00DE46B4" w:rsidRPr="00644F0C" w:rsidRDefault="00DE46B4" w:rsidP="00DE46B4">
            <w:pPr>
              <w:jc w:val="center"/>
              <w:rPr>
                <w:rFonts w:ascii="Arial" w:hAnsi="Arial" w:cs="Arial"/>
                <w:b/>
                <w:bCs/>
                <w:color w:val="000000" w:themeColor="text1"/>
              </w:rPr>
            </w:pPr>
            <w:proofErr w:type="spellStart"/>
            <w:r>
              <w:rPr>
                <w:rFonts w:ascii="Arial" w:hAnsi="Arial" w:cs="Arial"/>
                <w:b/>
                <w:bCs/>
                <w:color w:val="000000" w:themeColor="text1"/>
              </w:rPr>
              <w:t>fogger</w:t>
            </w:r>
            <w:proofErr w:type="spellEnd"/>
          </w:p>
        </w:tc>
      </w:tr>
      <w:tr w:rsidR="00DE46B4" w14:paraId="01C353E2" w14:textId="77777777" w:rsidTr="00DE46B4">
        <w:trPr>
          <w:trHeight w:val="487"/>
        </w:trPr>
        <w:tc>
          <w:tcPr>
            <w:tcW w:w="3412" w:type="dxa"/>
          </w:tcPr>
          <w:p w14:paraId="41CE969F" w14:textId="77777777" w:rsidR="00DE46B4" w:rsidRPr="00644F0C" w:rsidRDefault="00DE46B4" w:rsidP="00DE46B4">
            <w:pPr>
              <w:jc w:val="right"/>
              <w:rPr>
                <w:rFonts w:ascii="Arial" w:hAnsi="Arial" w:cs="Arial"/>
                <w:b/>
                <w:bCs/>
                <w:color w:val="000000" w:themeColor="text1"/>
              </w:rPr>
            </w:pPr>
            <w:r w:rsidRPr="00644F0C">
              <w:rPr>
                <w:rFonts w:ascii="Arial" w:hAnsi="Arial" w:cs="Arial"/>
                <w:b/>
                <w:bCs/>
                <w:color w:val="000000" w:themeColor="text1"/>
              </w:rPr>
              <w:t>Tamaño del tanque (gal.)</w:t>
            </w:r>
          </w:p>
        </w:tc>
        <w:tc>
          <w:tcPr>
            <w:tcW w:w="6768" w:type="dxa"/>
          </w:tcPr>
          <w:p w14:paraId="2D7522C3" w14:textId="3C8E5A0A" w:rsidR="00DE46B4" w:rsidRPr="00644F0C" w:rsidRDefault="00DE46B4" w:rsidP="00DE46B4">
            <w:pPr>
              <w:jc w:val="center"/>
              <w:rPr>
                <w:rFonts w:ascii="Arial" w:hAnsi="Arial" w:cs="Arial"/>
                <w:b/>
                <w:bCs/>
                <w:color w:val="000000" w:themeColor="text1"/>
              </w:rPr>
            </w:pPr>
            <w:r w:rsidRPr="00644F0C">
              <w:rPr>
                <w:rFonts w:ascii="Arial" w:hAnsi="Arial" w:cs="Arial"/>
                <w:b/>
                <w:bCs/>
                <w:color w:val="000000" w:themeColor="text1"/>
                <w:sz w:val="21"/>
                <w:szCs w:val="21"/>
                <w:shd w:val="clear" w:color="auto" w:fill="FFFFFF"/>
              </w:rPr>
              <w:t>1</w:t>
            </w:r>
            <w:r>
              <w:rPr>
                <w:rFonts w:ascii="Arial" w:hAnsi="Arial" w:cs="Arial"/>
                <w:b/>
                <w:bCs/>
                <w:color w:val="000000" w:themeColor="text1"/>
                <w:sz w:val="21"/>
                <w:szCs w:val="21"/>
                <w:shd w:val="clear" w:color="auto" w:fill="FFFFFF"/>
              </w:rPr>
              <w:t>.</w:t>
            </w:r>
            <w:r w:rsidR="001D050E">
              <w:rPr>
                <w:rFonts w:ascii="Arial" w:hAnsi="Arial" w:cs="Arial"/>
                <w:b/>
                <w:bCs/>
                <w:color w:val="000000" w:themeColor="text1"/>
                <w:sz w:val="21"/>
                <w:szCs w:val="21"/>
                <w:shd w:val="clear" w:color="auto" w:fill="FFFFFF"/>
              </w:rPr>
              <w:t>5</w:t>
            </w:r>
            <w:r w:rsidRPr="00644F0C">
              <w:rPr>
                <w:rFonts w:ascii="Arial" w:hAnsi="Arial" w:cs="Arial"/>
                <w:b/>
                <w:bCs/>
                <w:color w:val="000000" w:themeColor="text1"/>
                <w:sz w:val="21"/>
                <w:szCs w:val="21"/>
                <w:shd w:val="clear" w:color="auto" w:fill="FFFFFF"/>
              </w:rPr>
              <w:t xml:space="preserve"> galon</w:t>
            </w:r>
            <w:r>
              <w:rPr>
                <w:rFonts w:ascii="Arial" w:hAnsi="Arial" w:cs="Arial"/>
                <w:b/>
                <w:bCs/>
                <w:color w:val="000000" w:themeColor="text1"/>
                <w:sz w:val="21"/>
                <w:szCs w:val="21"/>
                <w:shd w:val="clear" w:color="auto" w:fill="FFFFFF"/>
              </w:rPr>
              <w:t>es</w:t>
            </w:r>
          </w:p>
        </w:tc>
      </w:tr>
      <w:tr w:rsidR="00DE46B4" w14:paraId="03A4AEE4" w14:textId="77777777" w:rsidTr="00DE46B4">
        <w:trPr>
          <w:trHeight w:val="443"/>
        </w:trPr>
        <w:tc>
          <w:tcPr>
            <w:tcW w:w="3412" w:type="dxa"/>
          </w:tcPr>
          <w:p w14:paraId="3D75ABB1" w14:textId="77777777" w:rsidR="00DE46B4" w:rsidRPr="00644F0C" w:rsidRDefault="00DE46B4" w:rsidP="00DE46B4">
            <w:pPr>
              <w:jc w:val="right"/>
              <w:rPr>
                <w:rFonts w:ascii="Arial" w:hAnsi="Arial" w:cs="Arial"/>
                <w:b/>
                <w:bCs/>
                <w:color w:val="000000" w:themeColor="text1"/>
              </w:rPr>
            </w:pPr>
            <w:r w:rsidRPr="00644F0C">
              <w:rPr>
                <w:rStyle w:val="Textoennegrita"/>
                <w:rFonts w:ascii="Arial" w:hAnsi="Arial" w:cs="Arial"/>
                <w:color w:val="000000" w:themeColor="text1"/>
                <w:sz w:val="21"/>
                <w:szCs w:val="21"/>
                <w:bdr w:val="single" w:sz="2" w:space="0" w:color="EBEBEB" w:frame="1"/>
              </w:rPr>
              <w:t>Material / Construcción</w:t>
            </w:r>
          </w:p>
        </w:tc>
        <w:tc>
          <w:tcPr>
            <w:tcW w:w="6768" w:type="dxa"/>
          </w:tcPr>
          <w:p w14:paraId="66486DAF" w14:textId="65FDDE40" w:rsidR="00DE46B4" w:rsidRPr="00644F0C" w:rsidRDefault="00DE46B4" w:rsidP="00DE46B4">
            <w:pPr>
              <w:jc w:val="center"/>
              <w:rPr>
                <w:rFonts w:ascii="Arial" w:hAnsi="Arial" w:cs="Arial"/>
                <w:b/>
                <w:bCs/>
                <w:color w:val="000000" w:themeColor="text1"/>
              </w:rPr>
            </w:pPr>
            <w:r w:rsidRPr="00DB223B">
              <w:rPr>
                <w:rFonts w:ascii="Arial" w:hAnsi="Arial" w:cs="Arial"/>
                <w:b/>
                <w:bCs/>
                <w:color w:val="000000" w:themeColor="text1"/>
                <w:sz w:val="21"/>
                <w:szCs w:val="21"/>
                <w:shd w:val="clear" w:color="auto" w:fill="FFFFFF"/>
              </w:rPr>
              <w:t xml:space="preserve">Tanque de </w:t>
            </w:r>
            <w:r w:rsidR="001D0B81">
              <w:rPr>
                <w:rFonts w:ascii="Arial" w:hAnsi="Arial" w:cs="Arial"/>
                <w:b/>
                <w:bCs/>
                <w:color w:val="000000" w:themeColor="text1"/>
                <w:sz w:val="21"/>
                <w:szCs w:val="21"/>
                <w:shd w:val="clear" w:color="auto" w:fill="FFFFFF"/>
              </w:rPr>
              <w:t>poliuretano resistente</w:t>
            </w:r>
          </w:p>
        </w:tc>
      </w:tr>
      <w:tr w:rsidR="00DE46B4" w14:paraId="0F4BC05D" w14:textId="77777777" w:rsidTr="00DE46B4">
        <w:trPr>
          <w:trHeight w:val="487"/>
        </w:trPr>
        <w:tc>
          <w:tcPr>
            <w:tcW w:w="3412" w:type="dxa"/>
          </w:tcPr>
          <w:p w14:paraId="5FD60BE9" w14:textId="3E4F4B54" w:rsidR="00DE46B4" w:rsidRPr="00644F0C" w:rsidRDefault="00DE46B4" w:rsidP="00DE46B4">
            <w:pPr>
              <w:jc w:val="right"/>
              <w:rPr>
                <w:rFonts w:ascii="Arial" w:hAnsi="Arial" w:cs="Arial"/>
                <w:b/>
                <w:bCs/>
                <w:color w:val="000000" w:themeColor="text1"/>
              </w:rPr>
            </w:pPr>
            <w:r w:rsidRPr="00644F0C">
              <w:rPr>
                <w:rStyle w:val="Textoennegrita"/>
                <w:rFonts w:ascii="Arial" w:hAnsi="Arial" w:cs="Arial"/>
                <w:color w:val="000000" w:themeColor="text1"/>
                <w:sz w:val="21"/>
                <w:szCs w:val="21"/>
                <w:bdr w:val="single" w:sz="2" w:space="0" w:color="EBEBEB" w:frame="1"/>
              </w:rPr>
              <w:t>Longitud de la manguera (pulg.)</w:t>
            </w:r>
          </w:p>
        </w:tc>
        <w:tc>
          <w:tcPr>
            <w:tcW w:w="6768" w:type="dxa"/>
          </w:tcPr>
          <w:p w14:paraId="3193D47E" w14:textId="36DA700B" w:rsidR="00DE46B4" w:rsidRPr="00644F0C" w:rsidRDefault="00DE46B4" w:rsidP="00DE46B4">
            <w:pPr>
              <w:jc w:val="center"/>
              <w:rPr>
                <w:rFonts w:ascii="Arial" w:hAnsi="Arial" w:cs="Arial"/>
                <w:b/>
                <w:bCs/>
                <w:color w:val="000000" w:themeColor="text1"/>
              </w:rPr>
            </w:pPr>
            <w:r w:rsidRPr="00DB223B">
              <w:rPr>
                <w:rFonts w:ascii="Arial" w:hAnsi="Arial" w:cs="Arial"/>
                <w:b/>
                <w:bCs/>
                <w:color w:val="000000" w:themeColor="text1"/>
                <w:sz w:val="21"/>
                <w:szCs w:val="21"/>
                <w:shd w:val="clear" w:color="auto" w:fill="FFFFFF"/>
              </w:rPr>
              <w:t>1</w:t>
            </w:r>
            <w:r w:rsidR="001D0B81">
              <w:rPr>
                <w:rFonts w:ascii="Arial" w:hAnsi="Arial" w:cs="Arial"/>
                <w:b/>
                <w:bCs/>
                <w:color w:val="000000" w:themeColor="text1"/>
                <w:sz w:val="21"/>
                <w:szCs w:val="21"/>
                <w:shd w:val="clear" w:color="auto" w:fill="FFFFFF"/>
              </w:rPr>
              <w:t>2</w:t>
            </w:r>
            <w:r w:rsidRPr="00DB223B">
              <w:rPr>
                <w:rFonts w:ascii="Arial" w:hAnsi="Arial" w:cs="Arial"/>
                <w:b/>
                <w:bCs/>
                <w:color w:val="000000" w:themeColor="text1"/>
                <w:sz w:val="21"/>
                <w:szCs w:val="21"/>
                <w:shd w:val="clear" w:color="auto" w:fill="FFFFFF"/>
              </w:rPr>
              <w:t xml:space="preserve"> pulg.</w:t>
            </w:r>
          </w:p>
        </w:tc>
      </w:tr>
      <w:tr w:rsidR="00DE46B4" w14:paraId="3BBCC3B2" w14:textId="77777777" w:rsidTr="00DE46B4">
        <w:trPr>
          <w:trHeight w:val="487"/>
        </w:trPr>
        <w:tc>
          <w:tcPr>
            <w:tcW w:w="3412" w:type="dxa"/>
          </w:tcPr>
          <w:p w14:paraId="681F7A69" w14:textId="46289F6A" w:rsidR="00DE46B4" w:rsidRPr="00644F0C" w:rsidRDefault="00DE46B4" w:rsidP="00DE46B4">
            <w:pPr>
              <w:jc w:val="right"/>
              <w:rPr>
                <w:rFonts w:ascii="Arial" w:hAnsi="Arial" w:cs="Arial"/>
                <w:b/>
                <w:bCs/>
                <w:color w:val="000000" w:themeColor="text1"/>
              </w:rPr>
            </w:pPr>
            <w:r>
              <w:rPr>
                <w:rStyle w:val="Textoennegrita"/>
                <w:sz w:val="21"/>
                <w:szCs w:val="21"/>
                <w:bdr w:val="single" w:sz="2" w:space="0" w:color="EBEBEB" w:frame="1"/>
              </w:rPr>
              <w:t>Tamaño de gota</w:t>
            </w:r>
          </w:p>
        </w:tc>
        <w:tc>
          <w:tcPr>
            <w:tcW w:w="6768" w:type="dxa"/>
          </w:tcPr>
          <w:p w14:paraId="1AA80B0D" w14:textId="15B88043" w:rsidR="00DE46B4" w:rsidRPr="00644F0C" w:rsidRDefault="00DE46B4" w:rsidP="00DE46B4">
            <w:pPr>
              <w:jc w:val="center"/>
              <w:rPr>
                <w:rFonts w:ascii="Arial" w:hAnsi="Arial" w:cs="Arial"/>
                <w:b/>
                <w:bCs/>
                <w:color w:val="000000" w:themeColor="text1"/>
              </w:rPr>
            </w:pPr>
            <w:r w:rsidRPr="004C3786">
              <w:rPr>
                <w:rFonts w:ascii="Arial" w:hAnsi="Arial" w:cs="Arial"/>
                <w:b/>
                <w:bCs/>
                <w:color w:val="000000" w:themeColor="text1"/>
                <w:sz w:val="21"/>
                <w:szCs w:val="21"/>
                <w:shd w:val="clear" w:color="auto" w:fill="FFFFFF"/>
              </w:rPr>
              <w:t xml:space="preserve">El </w:t>
            </w:r>
            <w:r w:rsidR="001D0B81">
              <w:rPr>
                <w:rFonts w:ascii="Arial" w:hAnsi="Arial" w:cs="Arial"/>
                <w:b/>
                <w:bCs/>
                <w:color w:val="000000" w:themeColor="text1"/>
                <w:sz w:val="21"/>
                <w:szCs w:val="21"/>
                <w:shd w:val="clear" w:color="auto" w:fill="FFFFFF"/>
              </w:rPr>
              <w:t>tamaño de gota es de 5-50 micras</w:t>
            </w:r>
          </w:p>
        </w:tc>
      </w:tr>
    </w:tbl>
    <w:p w14:paraId="7259D5B0" w14:textId="65917ADD" w:rsidR="00644F0C" w:rsidRPr="00644F0C" w:rsidRDefault="001D050E" w:rsidP="00644F0C">
      <w:pPr>
        <w:jc w:val="both"/>
        <w:rPr>
          <w:rFonts w:ascii="Arial" w:hAnsi="Arial" w:cs="Arial"/>
          <w:b/>
          <w:bCs/>
        </w:rPr>
      </w:pPr>
      <w:r>
        <w:rPr>
          <w:rFonts w:ascii="Arial" w:hAnsi="Arial" w:cs="Arial"/>
          <w:noProof/>
        </w:rPr>
        <w:drawing>
          <wp:anchor distT="0" distB="0" distL="114300" distR="114300" simplePos="0" relativeHeight="251658240" behindDoc="0" locked="0" layoutInCell="1" allowOverlap="1" wp14:anchorId="5C062705" wp14:editId="33C12DA3">
            <wp:simplePos x="0" y="0"/>
            <wp:positionH relativeFrom="column">
              <wp:posOffset>1037189</wp:posOffset>
            </wp:positionH>
            <wp:positionV relativeFrom="paragraph">
              <wp:posOffset>5610960</wp:posOffset>
            </wp:positionV>
            <wp:extent cx="2647950" cy="1724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7950" cy="1724025"/>
                    </a:xfrm>
                    <a:prstGeom prst="rect">
                      <a:avLst/>
                    </a:prstGeom>
                    <a:noFill/>
                    <a:ln>
                      <a:noFill/>
                    </a:ln>
                  </pic:spPr>
                </pic:pic>
              </a:graphicData>
            </a:graphic>
          </wp:anchor>
        </w:drawing>
      </w:r>
      <w:r w:rsidRPr="001D050E">
        <w:rPr>
          <w:rFonts w:ascii="Arial" w:hAnsi="Arial" w:cs="Arial"/>
        </w:rPr>
        <w:t>El compacto nebulizador en frio C1</w:t>
      </w:r>
      <w:r>
        <w:rPr>
          <w:rFonts w:ascii="Arial" w:hAnsi="Arial" w:cs="Arial"/>
        </w:rPr>
        <w:t>5</w:t>
      </w:r>
      <w:r w:rsidRPr="001D050E">
        <w:rPr>
          <w:rFonts w:ascii="Arial" w:hAnsi="Arial" w:cs="Arial"/>
        </w:rPr>
        <w:t>0 es una de las más poderosas y duraderas maquinas ULV en el mercado hoy en día. Equipado con el exclusivo motor Samsung de 1250 vatios. Esta máquina de niebla puede cubrir fácilmente una superficie de 100 m2, en menos de un minuto. Con un tamaño de gota ajustable entre 5-50 micras, este nebulizador puede aplicar rápidamente desinfectantes</w:t>
      </w:r>
      <w:r>
        <w:rPr>
          <w:rFonts w:ascii="Arial" w:hAnsi="Arial" w:cs="Arial"/>
        </w:rPr>
        <w:t xml:space="preserve"> </w:t>
      </w:r>
      <w:r w:rsidRPr="001D050E">
        <w:rPr>
          <w:rFonts w:ascii="Arial" w:hAnsi="Arial" w:cs="Arial"/>
        </w:rPr>
        <w:t>o insecticidas para erradicar portadores de vectores y plagas.</w:t>
      </w:r>
    </w:p>
    <w:sectPr w:rsidR="00644F0C" w:rsidRPr="00644F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0C"/>
    <w:rsid w:val="001D050E"/>
    <w:rsid w:val="001D0B81"/>
    <w:rsid w:val="002104CC"/>
    <w:rsid w:val="0030349B"/>
    <w:rsid w:val="004C3786"/>
    <w:rsid w:val="00590EB1"/>
    <w:rsid w:val="00644F0C"/>
    <w:rsid w:val="0084564D"/>
    <w:rsid w:val="00873174"/>
    <w:rsid w:val="008A20B7"/>
    <w:rsid w:val="00DB223B"/>
    <w:rsid w:val="00DE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5FE4"/>
  <w15:chartTrackingRefBased/>
  <w15:docId w15:val="{45D00318-C65D-499A-8F16-8F0DFC74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4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44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580711">
      <w:bodyDiv w:val="1"/>
      <w:marLeft w:val="0"/>
      <w:marRight w:val="0"/>
      <w:marTop w:val="0"/>
      <w:marBottom w:val="0"/>
      <w:divBdr>
        <w:top w:val="none" w:sz="0" w:space="0" w:color="auto"/>
        <w:left w:val="none" w:sz="0" w:space="0" w:color="auto"/>
        <w:bottom w:val="none" w:sz="0" w:space="0" w:color="auto"/>
        <w:right w:val="none" w:sz="0" w:space="0" w:color="auto"/>
      </w:divBdr>
    </w:div>
    <w:div w:id="1177842635">
      <w:bodyDiv w:val="1"/>
      <w:marLeft w:val="0"/>
      <w:marRight w:val="0"/>
      <w:marTop w:val="0"/>
      <w:marBottom w:val="0"/>
      <w:divBdr>
        <w:top w:val="none" w:sz="0" w:space="0" w:color="auto"/>
        <w:left w:val="none" w:sz="0" w:space="0" w:color="auto"/>
        <w:bottom w:val="none" w:sz="0" w:space="0" w:color="auto"/>
        <w:right w:val="none" w:sz="0" w:space="0" w:color="auto"/>
      </w:divBdr>
    </w:div>
    <w:div w:id="12841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114</Words>
  <Characters>633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2021-01-08T23:12:00Z</dcterms:created>
  <dcterms:modified xsi:type="dcterms:W3CDTF">2021-01-08T23:12:00Z</dcterms:modified>
</cp:coreProperties>
</file>